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819" w:rsidRPr="000A6F57" w:rsidRDefault="002B60DD" w:rsidP="000A6F57">
      <w:pPr>
        <w:pStyle w:val="Heading5"/>
        <w:pBdr>
          <w:top w:val="single" w:sz="4" w:space="1" w:color="auto"/>
          <w:left w:val="single" w:sz="4" w:space="4" w:color="auto"/>
          <w:bottom w:val="single" w:sz="4" w:space="1" w:color="auto"/>
          <w:right w:val="single" w:sz="4" w:space="4" w:color="auto"/>
        </w:pBdr>
        <w:jc w:val="left"/>
        <w:rPr>
          <w:sz w:val="24"/>
        </w:rPr>
      </w:pPr>
      <w:bookmarkStart w:id="0" w:name="_GoBack"/>
      <w:bookmarkEnd w:id="0"/>
      <w:r w:rsidRPr="000A6F57">
        <w:rPr>
          <w:sz w:val="24"/>
        </w:rPr>
        <w:t>Limited Data Set</w:t>
      </w:r>
      <w:r w:rsidR="00270819" w:rsidRPr="000A6F57">
        <w:rPr>
          <w:sz w:val="24"/>
        </w:rPr>
        <w:t xml:space="preserve"> from 45 Code </w:t>
      </w:r>
      <w:r w:rsidR="00270819" w:rsidRPr="000A6F57">
        <w:rPr>
          <w:szCs w:val="24"/>
        </w:rPr>
        <w:t>of</w:t>
      </w:r>
      <w:r w:rsidR="00270819" w:rsidRPr="000A6F57">
        <w:rPr>
          <w:sz w:val="24"/>
        </w:rPr>
        <w:t xml:space="preserve"> Federal Regulations (CFR) Part 164.514(e) HIPAA</w:t>
      </w:r>
    </w:p>
    <w:p w:rsidR="00270819" w:rsidRDefault="00270819" w:rsidP="00270819">
      <w:pPr>
        <w:pStyle w:val="Heading5"/>
        <w:pBdr>
          <w:top w:val="single" w:sz="4" w:space="1" w:color="auto"/>
          <w:left w:val="single" w:sz="4" w:space="4" w:color="auto"/>
          <w:bottom w:val="single" w:sz="4" w:space="1" w:color="auto"/>
          <w:right w:val="single" w:sz="4" w:space="4" w:color="auto"/>
        </w:pBdr>
        <w:jc w:val="left"/>
        <w:rPr>
          <w:sz w:val="24"/>
        </w:rPr>
      </w:pPr>
    </w:p>
    <w:p w:rsidR="00287D6F" w:rsidRPr="00623B31" w:rsidRDefault="00287D6F" w:rsidP="00270819">
      <w:pPr>
        <w:pStyle w:val="ListParagraph"/>
        <w:numPr>
          <w:ilvl w:val="0"/>
          <w:numId w:val="1"/>
        </w:numPr>
        <w:tabs>
          <w:tab w:val="left" w:pos="720"/>
        </w:tabs>
        <w:spacing w:before="240" w:after="240"/>
        <w:ind w:left="360"/>
        <w:contextualSpacing w:val="0"/>
        <w:rPr>
          <w:sz w:val="24"/>
        </w:rPr>
      </w:pPr>
      <w:r w:rsidRPr="00623B31">
        <w:rPr>
          <w:i/>
          <w:sz w:val="24"/>
        </w:rPr>
        <w:t>Standard: Limited data set</w:t>
      </w:r>
      <w:r w:rsidR="00623B31" w:rsidRPr="00623B31">
        <w:rPr>
          <w:sz w:val="24"/>
        </w:rPr>
        <w:t xml:space="preserve"> –</w:t>
      </w:r>
      <w:r w:rsidRPr="00623B31">
        <w:rPr>
          <w:sz w:val="24"/>
        </w:rPr>
        <w:t xml:space="preserve"> A covered entity may use or disclose a limited data set that meets the requirements of paragraphs (e)(2) and (e)(3) of </w:t>
      </w:r>
      <w:r w:rsidR="00B23F73">
        <w:rPr>
          <w:sz w:val="24"/>
        </w:rPr>
        <w:t>45 CFR part 164.514</w:t>
      </w:r>
      <w:r w:rsidRPr="00623B31">
        <w:rPr>
          <w:sz w:val="24"/>
        </w:rPr>
        <w:t xml:space="preserve">, if the covered entity enters into a data use agreement with the limited data set recipient, in accordance with paragraph </w:t>
      </w:r>
      <w:r w:rsidR="00623B31" w:rsidRPr="00623B31">
        <w:rPr>
          <w:sz w:val="24"/>
        </w:rPr>
        <w:t>(e)(4) of this section.</w:t>
      </w:r>
    </w:p>
    <w:p w:rsidR="00287D6F" w:rsidRPr="00623B31" w:rsidRDefault="00287D6F" w:rsidP="00790068">
      <w:pPr>
        <w:pStyle w:val="ListParagraph"/>
        <w:numPr>
          <w:ilvl w:val="0"/>
          <w:numId w:val="1"/>
        </w:numPr>
        <w:tabs>
          <w:tab w:val="left" w:pos="720"/>
        </w:tabs>
        <w:spacing w:after="220"/>
        <w:ind w:left="360"/>
        <w:contextualSpacing w:val="0"/>
        <w:rPr>
          <w:sz w:val="24"/>
        </w:rPr>
      </w:pPr>
      <w:r w:rsidRPr="00623B31">
        <w:rPr>
          <w:i/>
          <w:sz w:val="24"/>
        </w:rPr>
        <w:t>Implementation specification: Limited data set</w:t>
      </w:r>
      <w:r w:rsidR="00623B31" w:rsidRPr="00623B31">
        <w:rPr>
          <w:sz w:val="24"/>
        </w:rPr>
        <w:t xml:space="preserve"> –</w:t>
      </w:r>
      <w:r w:rsidRPr="00623B31">
        <w:rPr>
          <w:sz w:val="24"/>
        </w:rPr>
        <w:t xml:space="preserve"> A limited data set is protected health information</w:t>
      </w:r>
      <w:r w:rsidR="00790068">
        <w:rPr>
          <w:sz w:val="24"/>
        </w:rPr>
        <w:t xml:space="preserve"> (PHI)</w:t>
      </w:r>
      <w:r w:rsidRPr="00623B31">
        <w:rPr>
          <w:sz w:val="24"/>
        </w:rPr>
        <w:t xml:space="preserve"> that excludes the following direct identifiers of the individual or of relatives, employers, or household members of the individual:</w:t>
      </w:r>
    </w:p>
    <w:p w:rsidR="00287D6F" w:rsidRPr="00790068" w:rsidRDefault="00287D6F" w:rsidP="00790068">
      <w:pPr>
        <w:pStyle w:val="ListParagraph"/>
        <w:numPr>
          <w:ilvl w:val="1"/>
          <w:numId w:val="4"/>
        </w:numPr>
        <w:tabs>
          <w:tab w:val="left" w:pos="720"/>
        </w:tabs>
        <w:spacing w:after="220"/>
        <w:ind w:left="720"/>
        <w:contextualSpacing w:val="0"/>
        <w:rPr>
          <w:sz w:val="24"/>
        </w:rPr>
      </w:pPr>
      <w:r w:rsidRPr="00790068">
        <w:rPr>
          <w:sz w:val="24"/>
        </w:rPr>
        <w:t>Names;</w:t>
      </w:r>
    </w:p>
    <w:p w:rsidR="00287D6F" w:rsidRPr="00790068" w:rsidRDefault="00287D6F" w:rsidP="00790068">
      <w:pPr>
        <w:pStyle w:val="ListParagraph"/>
        <w:numPr>
          <w:ilvl w:val="1"/>
          <w:numId w:val="4"/>
        </w:numPr>
        <w:tabs>
          <w:tab w:val="left" w:pos="720"/>
        </w:tabs>
        <w:spacing w:after="220"/>
        <w:ind w:left="720"/>
        <w:contextualSpacing w:val="0"/>
        <w:rPr>
          <w:sz w:val="24"/>
        </w:rPr>
      </w:pPr>
      <w:r w:rsidRPr="00790068">
        <w:rPr>
          <w:sz w:val="24"/>
        </w:rPr>
        <w:t>Postal address informa</w:t>
      </w:r>
      <w:r w:rsidR="00282E63" w:rsidRPr="00790068">
        <w:rPr>
          <w:sz w:val="24"/>
        </w:rPr>
        <w:t>tion, other than town or city, s</w:t>
      </w:r>
      <w:r w:rsidRPr="00790068">
        <w:rPr>
          <w:sz w:val="24"/>
        </w:rPr>
        <w:t>tate, and zip code;</w:t>
      </w:r>
    </w:p>
    <w:p w:rsidR="00287D6F" w:rsidRPr="00790068" w:rsidRDefault="00287D6F" w:rsidP="00790068">
      <w:pPr>
        <w:pStyle w:val="ListParagraph"/>
        <w:numPr>
          <w:ilvl w:val="1"/>
          <w:numId w:val="4"/>
        </w:numPr>
        <w:tabs>
          <w:tab w:val="left" w:pos="720"/>
        </w:tabs>
        <w:spacing w:after="220"/>
        <w:ind w:left="720"/>
        <w:contextualSpacing w:val="0"/>
        <w:rPr>
          <w:sz w:val="24"/>
        </w:rPr>
      </w:pPr>
      <w:r w:rsidRPr="00790068">
        <w:rPr>
          <w:sz w:val="24"/>
        </w:rPr>
        <w:t>Telephone numbers;</w:t>
      </w:r>
    </w:p>
    <w:p w:rsidR="00287D6F" w:rsidRPr="00790068" w:rsidRDefault="00287D6F" w:rsidP="00790068">
      <w:pPr>
        <w:pStyle w:val="ListParagraph"/>
        <w:numPr>
          <w:ilvl w:val="1"/>
          <w:numId w:val="4"/>
        </w:numPr>
        <w:tabs>
          <w:tab w:val="left" w:pos="720"/>
        </w:tabs>
        <w:spacing w:after="220"/>
        <w:ind w:left="720"/>
        <w:contextualSpacing w:val="0"/>
        <w:rPr>
          <w:sz w:val="24"/>
        </w:rPr>
      </w:pPr>
      <w:r w:rsidRPr="00790068">
        <w:rPr>
          <w:sz w:val="24"/>
        </w:rPr>
        <w:t>Fax numbers;</w:t>
      </w:r>
    </w:p>
    <w:p w:rsidR="00287D6F" w:rsidRPr="00790068" w:rsidRDefault="00287D6F" w:rsidP="00790068">
      <w:pPr>
        <w:pStyle w:val="ListParagraph"/>
        <w:numPr>
          <w:ilvl w:val="1"/>
          <w:numId w:val="4"/>
        </w:numPr>
        <w:tabs>
          <w:tab w:val="left" w:pos="720"/>
        </w:tabs>
        <w:spacing w:after="220"/>
        <w:ind w:left="720"/>
        <w:contextualSpacing w:val="0"/>
        <w:rPr>
          <w:sz w:val="24"/>
        </w:rPr>
      </w:pPr>
      <w:r w:rsidRPr="00790068">
        <w:rPr>
          <w:sz w:val="24"/>
        </w:rPr>
        <w:t>Email addresses;</w:t>
      </w:r>
    </w:p>
    <w:p w:rsidR="00287D6F" w:rsidRPr="00790068" w:rsidRDefault="00287D6F" w:rsidP="00790068">
      <w:pPr>
        <w:pStyle w:val="ListParagraph"/>
        <w:numPr>
          <w:ilvl w:val="1"/>
          <w:numId w:val="4"/>
        </w:numPr>
        <w:tabs>
          <w:tab w:val="left" w:pos="720"/>
        </w:tabs>
        <w:spacing w:after="220"/>
        <w:ind w:left="720"/>
        <w:contextualSpacing w:val="0"/>
        <w:rPr>
          <w:sz w:val="24"/>
        </w:rPr>
      </w:pPr>
      <w:r w:rsidRPr="00790068">
        <w:rPr>
          <w:sz w:val="24"/>
        </w:rPr>
        <w:t>Social security numbers;</w:t>
      </w:r>
    </w:p>
    <w:p w:rsidR="00287D6F" w:rsidRPr="00790068" w:rsidRDefault="00287D6F" w:rsidP="00790068">
      <w:pPr>
        <w:pStyle w:val="ListParagraph"/>
        <w:numPr>
          <w:ilvl w:val="1"/>
          <w:numId w:val="4"/>
        </w:numPr>
        <w:tabs>
          <w:tab w:val="left" w:pos="720"/>
        </w:tabs>
        <w:spacing w:after="220"/>
        <w:ind w:left="720"/>
        <w:contextualSpacing w:val="0"/>
        <w:rPr>
          <w:sz w:val="24"/>
        </w:rPr>
      </w:pPr>
      <w:r w:rsidRPr="00790068">
        <w:rPr>
          <w:sz w:val="24"/>
        </w:rPr>
        <w:t>Medical record numbers;</w:t>
      </w:r>
    </w:p>
    <w:p w:rsidR="00287D6F" w:rsidRPr="00790068" w:rsidRDefault="00287D6F" w:rsidP="00790068">
      <w:pPr>
        <w:pStyle w:val="ListParagraph"/>
        <w:numPr>
          <w:ilvl w:val="1"/>
          <w:numId w:val="4"/>
        </w:numPr>
        <w:tabs>
          <w:tab w:val="left" w:pos="720"/>
        </w:tabs>
        <w:spacing w:after="220"/>
        <w:ind w:left="720"/>
        <w:contextualSpacing w:val="0"/>
        <w:rPr>
          <w:sz w:val="24"/>
        </w:rPr>
      </w:pPr>
      <w:r w:rsidRPr="00790068">
        <w:rPr>
          <w:sz w:val="24"/>
        </w:rPr>
        <w:t>Health plan beneficiary numbers;</w:t>
      </w:r>
    </w:p>
    <w:p w:rsidR="00287D6F" w:rsidRPr="00790068" w:rsidRDefault="00287D6F" w:rsidP="00790068">
      <w:pPr>
        <w:pStyle w:val="ListParagraph"/>
        <w:numPr>
          <w:ilvl w:val="1"/>
          <w:numId w:val="4"/>
        </w:numPr>
        <w:tabs>
          <w:tab w:val="left" w:pos="720"/>
        </w:tabs>
        <w:spacing w:after="220"/>
        <w:ind w:left="720"/>
        <w:contextualSpacing w:val="0"/>
        <w:rPr>
          <w:sz w:val="24"/>
        </w:rPr>
      </w:pPr>
      <w:r w:rsidRPr="00790068">
        <w:rPr>
          <w:sz w:val="24"/>
        </w:rPr>
        <w:t>Account numbers;</w:t>
      </w:r>
    </w:p>
    <w:p w:rsidR="00287D6F" w:rsidRPr="00790068" w:rsidRDefault="00287D6F" w:rsidP="00790068">
      <w:pPr>
        <w:pStyle w:val="ListParagraph"/>
        <w:numPr>
          <w:ilvl w:val="1"/>
          <w:numId w:val="4"/>
        </w:numPr>
        <w:tabs>
          <w:tab w:val="left" w:pos="720"/>
        </w:tabs>
        <w:spacing w:after="220"/>
        <w:ind w:left="720"/>
        <w:contextualSpacing w:val="0"/>
        <w:rPr>
          <w:sz w:val="24"/>
        </w:rPr>
      </w:pPr>
      <w:r w:rsidRPr="00790068">
        <w:rPr>
          <w:sz w:val="24"/>
        </w:rPr>
        <w:t>Certificate/license numbers;</w:t>
      </w:r>
    </w:p>
    <w:p w:rsidR="00287D6F" w:rsidRPr="00790068" w:rsidRDefault="00287D6F" w:rsidP="00790068">
      <w:pPr>
        <w:pStyle w:val="ListParagraph"/>
        <w:numPr>
          <w:ilvl w:val="1"/>
          <w:numId w:val="4"/>
        </w:numPr>
        <w:tabs>
          <w:tab w:val="left" w:pos="720"/>
        </w:tabs>
        <w:spacing w:after="220"/>
        <w:ind w:left="720"/>
        <w:contextualSpacing w:val="0"/>
        <w:rPr>
          <w:sz w:val="24"/>
        </w:rPr>
      </w:pPr>
      <w:r w:rsidRPr="00790068">
        <w:rPr>
          <w:sz w:val="24"/>
        </w:rPr>
        <w:t>Vehicle identifiers and serial numbers, including license plate numbers;</w:t>
      </w:r>
    </w:p>
    <w:p w:rsidR="00287D6F" w:rsidRPr="00790068" w:rsidRDefault="00287D6F" w:rsidP="00790068">
      <w:pPr>
        <w:pStyle w:val="ListParagraph"/>
        <w:numPr>
          <w:ilvl w:val="1"/>
          <w:numId w:val="4"/>
        </w:numPr>
        <w:tabs>
          <w:tab w:val="left" w:pos="720"/>
        </w:tabs>
        <w:spacing w:after="220"/>
        <w:ind w:left="720"/>
        <w:contextualSpacing w:val="0"/>
        <w:rPr>
          <w:sz w:val="24"/>
        </w:rPr>
      </w:pPr>
      <w:r w:rsidRPr="00790068">
        <w:rPr>
          <w:sz w:val="24"/>
        </w:rPr>
        <w:t>Device identifiers and serial numbers;</w:t>
      </w:r>
    </w:p>
    <w:p w:rsidR="00287D6F" w:rsidRPr="00790068" w:rsidRDefault="00287D6F" w:rsidP="00790068">
      <w:pPr>
        <w:pStyle w:val="ListParagraph"/>
        <w:numPr>
          <w:ilvl w:val="1"/>
          <w:numId w:val="4"/>
        </w:numPr>
        <w:tabs>
          <w:tab w:val="left" w:pos="720"/>
        </w:tabs>
        <w:spacing w:after="220"/>
        <w:ind w:left="720"/>
        <w:contextualSpacing w:val="0"/>
        <w:rPr>
          <w:sz w:val="24"/>
        </w:rPr>
      </w:pPr>
      <w:r w:rsidRPr="00790068">
        <w:rPr>
          <w:sz w:val="24"/>
        </w:rPr>
        <w:t>Web Universal Resource Locators (URLs);</w:t>
      </w:r>
    </w:p>
    <w:p w:rsidR="00287D6F" w:rsidRPr="00790068" w:rsidRDefault="00287D6F" w:rsidP="00790068">
      <w:pPr>
        <w:pStyle w:val="ListParagraph"/>
        <w:numPr>
          <w:ilvl w:val="1"/>
          <w:numId w:val="4"/>
        </w:numPr>
        <w:tabs>
          <w:tab w:val="left" w:pos="720"/>
        </w:tabs>
        <w:spacing w:after="220"/>
        <w:ind w:left="720"/>
        <w:contextualSpacing w:val="0"/>
        <w:rPr>
          <w:sz w:val="24"/>
        </w:rPr>
      </w:pPr>
      <w:r w:rsidRPr="00790068">
        <w:rPr>
          <w:sz w:val="24"/>
        </w:rPr>
        <w:t>Internet Protocol (IP) address numbers;</w:t>
      </w:r>
    </w:p>
    <w:p w:rsidR="00287D6F" w:rsidRPr="00790068" w:rsidRDefault="00287D6F" w:rsidP="00790068">
      <w:pPr>
        <w:pStyle w:val="ListParagraph"/>
        <w:numPr>
          <w:ilvl w:val="1"/>
          <w:numId w:val="4"/>
        </w:numPr>
        <w:tabs>
          <w:tab w:val="left" w:pos="720"/>
        </w:tabs>
        <w:spacing w:after="220"/>
        <w:ind w:left="720"/>
        <w:contextualSpacing w:val="0"/>
        <w:rPr>
          <w:sz w:val="24"/>
        </w:rPr>
      </w:pPr>
      <w:r w:rsidRPr="00790068">
        <w:rPr>
          <w:sz w:val="24"/>
        </w:rPr>
        <w:t>Biometric identifiers, including finger and voice prints; and</w:t>
      </w:r>
    </w:p>
    <w:p w:rsidR="00287D6F" w:rsidRPr="00790068" w:rsidRDefault="00287D6F" w:rsidP="00790068">
      <w:pPr>
        <w:pStyle w:val="ListParagraph"/>
        <w:numPr>
          <w:ilvl w:val="1"/>
          <w:numId w:val="4"/>
        </w:numPr>
        <w:tabs>
          <w:tab w:val="left" w:pos="720"/>
        </w:tabs>
        <w:spacing w:after="220"/>
        <w:ind w:left="720"/>
        <w:contextualSpacing w:val="0"/>
        <w:rPr>
          <w:sz w:val="24"/>
        </w:rPr>
      </w:pPr>
      <w:r w:rsidRPr="00790068">
        <w:rPr>
          <w:sz w:val="24"/>
        </w:rPr>
        <w:lastRenderedPageBreak/>
        <w:t>Full face photographic im</w:t>
      </w:r>
      <w:r w:rsidR="00790068">
        <w:rPr>
          <w:sz w:val="24"/>
        </w:rPr>
        <w:t>ages and any comparable images.</w:t>
      </w:r>
    </w:p>
    <w:p w:rsidR="00287D6F" w:rsidRPr="00B12BDA" w:rsidRDefault="00287D6F" w:rsidP="00270819">
      <w:pPr>
        <w:pStyle w:val="ListParagraph"/>
        <w:keepNext/>
        <w:numPr>
          <w:ilvl w:val="0"/>
          <w:numId w:val="1"/>
        </w:numPr>
        <w:tabs>
          <w:tab w:val="left" w:pos="720"/>
        </w:tabs>
        <w:spacing w:after="220"/>
        <w:ind w:left="360"/>
        <w:contextualSpacing w:val="0"/>
        <w:rPr>
          <w:sz w:val="24"/>
        </w:rPr>
      </w:pPr>
      <w:r w:rsidRPr="00B12BDA">
        <w:rPr>
          <w:i/>
          <w:sz w:val="24"/>
        </w:rPr>
        <w:t>Implementation specification: Permitted purposes for uses and disclosures</w:t>
      </w:r>
    </w:p>
    <w:p w:rsidR="00287D6F" w:rsidRPr="00B12BDA" w:rsidRDefault="00287D6F" w:rsidP="00270819">
      <w:pPr>
        <w:pStyle w:val="ListParagraph"/>
        <w:keepNext/>
        <w:numPr>
          <w:ilvl w:val="0"/>
          <w:numId w:val="5"/>
        </w:numPr>
        <w:tabs>
          <w:tab w:val="left" w:pos="720"/>
        </w:tabs>
        <w:spacing w:after="220"/>
        <w:ind w:left="720"/>
        <w:contextualSpacing w:val="0"/>
        <w:rPr>
          <w:sz w:val="24"/>
        </w:rPr>
      </w:pPr>
      <w:r w:rsidRPr="00B12BDA">
        <w:rPr>
          <w:sz w:val="24"/>
        </w:rPr>
        <w:t>A covered entity may use or disclose a limited data set under paragraph (e)(1) of this section only for the purposes of research, public health, or health care operations</w:t>
      </w:r>
      <w:r w:rsidRPr="00790068">
        <w:rPr>
          <w:vertAlign w:val="superscript"/>
        </w:rPr>
        <w:footnoteReference w:id="1"/>
      </w:r>
      <w:r w:rsidR="00790068">
        <w:rPr>
          <w:sz w:val="24"/>
        </w:rPr>
        <w:t>.</w:t>
      </w:r>
    </w:p>
    <w:p w:rsidR="00287D6F" w:rsidRPr="00B12BDA" w:rsidRDefault="00287D6F" w:rsidP="00790068">
      <w:pPr>
        <w:pStyle w:val="ListParagraph"/>
        <w:keepLines/>
        <w:numPr>
          <w:ilvl w:val="0"/>
          <w:numId w:val="5"/>
        </w:numPr>
        <w:tabs>
          <w:tab w:val="left" w:pos="720"/>
        </w:tabs>
        <w:spacing w:after="220"/>
        <w:ind w:left="720"/>
        <w:contextualSpacing w:val="0"/>
        <w:rPr>
          <w:sz w:val="24"/>
        </w:rPr>
      </w:pPr>
      <w:r w:rsidRPr="00B12BDA">
        <w:rPr>
          <w:sz w:val="24"/>
        </w:rPr>
        <w:t xml:space="preserve">A covered entity may use protected health information to create a limited data set that meets the requirements of paragraph (e)(2) of this section, or disclose </w:t>
      </w:r>
      <w:r w:rsidR="00790068">
        <w:rPr>
          <w:sz w:val="24"/>
        </w:rPr>
        <w:t>PHI</w:t>
      </w:r>
      <w:r w:rsidRPr="00B12BDA">
        <w:rPr>
          <w:sz w:val="24"/>
        </w:rPr>
        <w:t xml:space="preserve"> only to a business associate for such purpose, whether or not the limited data set is to</w:t>
      </w:r>
      <w:r w:rsidR="00790068">
        <w:rPr>
          <w:sz w:val="24"/>
        </w:rPr>
        <w:t xml:space="preserve"> be used by the covered entity.</w:t>
      </w:r>
    </w:p>
    <w:p w:rsidR="00287D6F" w:rsidRPr="00B12BDA" w:rsidRDefault="00287D6F" w:rsidP="00790068">
      <w:pPr>
        <w:pStyle w:val="ListParagraph"/>
        <w:keepNext/>
        <w:numPr>
          <w:ilvl w:val="0"/>
          <w:numId w:val="1"/>
        </w:numPr>
        <w:tabs>
          <w:tab w:val="left" w:pos="720"/>
        </w:tabs>
        <w:spacing w:after="220"/>
        <w:ind w:left="360"/>
        <w:contextualSpacing w:val="0"/>
        <w:rPr>
          <w:sz w:val="24"/>
        </w:rPr>
      </w:pPr>
      <w:r w:rsidRPr="00B12BDA">
        <w:rPr>
          <w:i/>
          <w:sz w:val="24"/>
        </w:rPr>
        <w:t>Implementation specifications: Data use agreement</w:t>
      </w:r>
    </w:p>
    <w:p w:rsidR="00287D6F" w:rsidRPr="00B12BDA" w:rsidRDefault="00287D6F" w:rsidP="00790068">
      <w:pPr>
        <w:pStyle w:val="ListParagraph"/>
        <w:numPr>
          <w:ilvl w:val="0"/>
          <w:numId w:val="6"/>
        </w:numPr>
        <w:tabs>
          <w:tab w:val="left" w:pos="720"/>
        </w:tabs>
        <w:spacing w:after="220"/>
        <w:ind w:left="720"/>
        <w:contextualSpacing w:val="0"/>
        <w:rPr>
          <w:sz w:val="24"/>
        </w:rPr>
      </w:pPr>
      <w:r w:rsidRPr="00790068">
        <w:rPr>
          <w:i/>
          <w:sz w:val="24"/>
        </w:rPr>
        <w:t>Agreement</w:t>
      </w:r>
      <w:r w:rsidRPr="00B12BDA">
        <w:rPr>
          <w:i/>
          <w:sz w:val="24"/>
        </w:rPr>
        <w:t xml:space="preserve"> required</w:t>
      </w:r>
      <w:r w:rsidR="00623B31">
        <w:rPr>
          <w:sz w:val="24"/>
        </w:rPr>
        <w:t xml:space="preserve"> –</w:t>
      </w:r>
      <w:r w:rsidRPr="00B12BDA">
        <w:rPr>
          <w:sz w:val="24"/>
        </w:rPr>
        <w:t xml:space="preserve"> A covered entity may use or disclose a limited data set under paragraph (e)(1) of this section only if the covered entity obtains satisfactory assurance, in the form of a data use agreement that meets the requirements of this section, that the limited data set recipient will only use or disclose the </w:t>
      </w:r>
      <w:r w:rsidR="00790068">
        <w:rPr>
          <w:sz w:val="24"/>
        </w:rPr>
        <w:t>PHI for limited purposes.</w:t>
      </w:r>
    </w:p>
    <w:p w:rsidR="00287D6F" w:rsidRPr="00B12BDA" w:rsidRDefault="00287D6F" w:rsidP="00790068">
      <w:pPr>
        <w:pStyle w:val="ListParagraph"/>
        <w:numPr>
          <w:ilvl w:val="0"/>
          <w:numId w:val="6"/>
        </w:numPr>
        <w:tabs>
          <w:tab w:val="left" w:pos="720"/>
        </w:tabs>
        <w:spacing w:after="220"/>
        <w:ind w:left="720"/>
        <w:contextualSpacing w:val="0"/>
        <w:rPr>
          <w:sz w:val="24"/>
        </w:rPr>
      </w:pPr>
      <w:r w:rsidRPr="00B12BDA">
        <w:rPr>
          <w:i/>
          <w:sz w:val="24"/>
        </w:rPr>
        <w:t>Contents</w:t>
      </w:r>
      <w:r w:rsidR="00623B31">
        <w:rPr>
          <w:i/>
          <w:sz w:val="24"/>
        </w:rPr>
        <w:t xml:space="preserve"> –</w:t>
      </w:r>
      <w:r w:rsidRPr="00B12BDA">
        <w:rPr>
          <w:sz w:val="24"/>
        </w:rPr>
        <w:t xml:space="preserve"> A data use agreement between the covered entity and the limited data set recipient must:</w:t>
      </w:r>
    </w:p>
    <w:p w:rsidR="00287D6F" w:rsidRPr="00790068" w:rsidRDefault="00287D6F" w:rsidP="00790068">
      <w:pPr>
        <w:pStyle w:val="ListParagraph"/>
        <w:numPr>
          <w:ilvl w:val="1"/>
          <w:numId w:val="7"/>
        </w:numPr>
        <w:tabs>
          <w:tab w:val="left" w:pos="1620"/>
        </w:tabs>
        <w:spacing w:after="220"/>
        <w:ind w:left="1080"/>
        <w:contextualSpacing w:val="0"/>
        <w:rPr>
          <w:sz w:val="24"/>
        </w:rPr>
      </w:pPr>
      <w:r w:rsidRPr="00790068">
        <w:rPr>
          <w:sz w:val="24"/>
        </w:rPr>
        <w:t>Establish the permitted uses and disclosures of such information by the limited data set recipient, consistent with paragraph (e)(3) of this section. The data use agreement may not authorize the limited data set recipient to use or further disclose the information in a manner that would violate the requirements of this subpart, if done by the covered entity;</w:t>
      </w:r>
    </w:p>
    <w:p w:rsidR="00287D6F" w:rsidRPr="00790068" w:rsidRDefault="00287D6F" w:rsidP="00790068">
      <w:pPr>
        <w:pStyle w:val="ListParagraph"/>
        <w:numPr>
          <w:ilvl w:val="1"/>
          <w:numId w:val="7"/>
        </w:numPr>
        <w:tabs>
          <w:tab w:val="left" w:pos="1620"/>
        </w:tabs>
        <w:spacing w:after="220"/>
        <w:ind w:left="1080"/>
        <w:contextualSpacing w:val="0"/>
        <w:rPr>
          <w:sz w:val="24"/>
        </w:rPr>
      </w:pPr>
      <w:r w:rsidRPr="00790068">
        <w:rPr>
          <w:sz w:val="24"/>
        </w:rPr>
        <w:t>Establish who is permitted to use or receive the limited data set; and</w:t>
      </w:r>
    </w:p>
    <w:p w:rsidR="00287D6F" w:rsidRPr="00790068" w:rsidRDefault="00287D6F" w:rsidP="00790068">
      <w:pPr>
        <w:pStyle w:val="ListParagraph"/>
        <w:numPr>
          <w:ilvl w:val="1"/>
          <w:numId w:val="7"/>
        </w:numPr>
        <w:tabs>
          <w:tab w:val="left" w:pos="1620"/>
        </w:tabs>
        <w:spacing w:after="220"/>
        <w:ind w:left="1080"/>
        <w:contextualSpacing w:val="0"/>
        <w:rPr>
          <w:sz w:val="24"/>
        </w:rPr>
      </w:pPr>
      <w:r w:rsidRPr="00790068">
        <w:rPr>
          <w:sz w:val="24"/>
        </w:rPr>
        <w:t>Provide that the limited data set recipient will:</w:t>
      </w:r>
    </w:p>
    <w:p w:rsidR="00287D6F" w:rsidRPr="00790068" w:rsidRDefault="00287D6F" w:rsidP="00790068">
      <w:pPr>
        <w:pStyle w:val="ListParagraph"/>
        <w:numPr>
          <w:ilvl w:val="2"/>
          <w:numId w:val="9"/>
        </w:numPr>
        <w:tabs>
          <w:tab w:val="left" w:pos="1980"/>
        </w:tabs>
        <w:spacing w:after="220"/>
        <w:ind w:left="1440" w:hanging="360"/>
        <w:contextualSpacing w:val="0"/>
        <w:rPr>
          <w:sz w:val="24"/>
        </w:rPr>
      </w:pPr>
      <w:r w:rsidRPr="00790068">
        <w:rPr>
          <w:sz w:val="24"/>
        </w:rPr>
        <w:lastRenderedPageBreak/>
        <w:t>Not use or further disclose the information other than as permitted by the data use agreement or as otherwise required by law;</w:t>
      </w:r>
    </w:p>
    <w:p w:rsidR="00287D6F" w:rsidRPr="00790068" w:rsidRDefault="00287D6F" w:rsidP="00790068">
      <w:pPr>
        <w:pStyle w:val="ListParagraph"/>
        <w:numPr>
          <w:ilvl w:val="2"/>
          <w:numId w:val="9"/>
        </w:numPr>
        <w:tabs>
          <w:tab w:val="left" w:pos="1980"/>
        </w:tabs>
        <w:spacing w:after="220"/>
        <w:ind w:left="1440" w:hanging="360"/>
        <w:contextualSpacing w:val="0"/>
        <w:rPr>
          <w:sz w:val="24"/>
        </w:rPr>
      </w:pPr>
      <w:r w:rsidRPr="00790068">
        <w:rPr>
          <w:sz w:val="24"/>
        </w:rPr>
        <w:t>Use appropriate safeguards to prevent use or disclosure of the information other than as provided for by the data use agreement;</w:t>
      </w:r>
    </w:p>
    <w:p w:rsidR="00287D6F" w:rsidRPr="00790068" w:rsidRDefault="00287D6F" w:rsidP="00790068">
      <w:pPr>
        <w:pStyle w:val="ListParagraph"/>
        <w:numPr>
          <w:ilvl w:val="2"/>
          <w:numId w:val="9"/>
        </w:numPr>
        <w:tabs>
          <w:tab w:val="left" w:pos="1980"/>
        </w:tabs>
        <w:spacing w:after="220"/>
        <w:ind w:left="1440" w:hanging="360"/>
        <w:contextualSpacing w:val="0"/>
        <w:rPr>
          <w:sz w:val="24"/>
        </w:rPr>
      </w:pPr>
      <w:r w:rsidRPr="00790068">
        <w:rPr>
          <w:sz w:val="24"/>
        </w:rPr>
        <w:t>Report to the covered entity any use or disclosure of the information not provided for by its data use agreement of which it becomes aware;</w:t>
      </w:r>
    </w:p>
    <w:p w:rsidR="00287D6F" w:rsidRPr="00790068" w:rsidRDefault="00287D6F" w:rsidP="00790068">
      <w:pPr>
        <w:pStyle w:val="ListParagraph"/>
        <w:numPr>
          <w:ilvl w:val="2"/>
          <w:numId w:val="9"/>
        </w:numPr>
        <w:tabs>
          <w:tab w:val="left" w:pos="1980"/>
        </w:tabs>
        <w:spacing w:after="220"/>
        <w:ind w:left="1440" w:hanging="360"/>
        <w:contextualSpacing w:val="0"/>
        <w:rPr>
          <w:sz w:val="24"/>
        </w:rPr>
      </w:pPr>
      <w:r w:rsidRPr="00790068">
        <w:rPr>
          <w:sz w:val="24"/>
        </w:rPr>
        <w:t>Ensure that any agents, including a subcontractor, to whom it provides the limited data set agrees to the same restrictions and conditions that apply to the limited data set recipient with respect to such information; and</w:t>
      </w:r>
    </w:p>
    <w:p w:rsidR="00287D6F" w:rsidRPr="00790068" w:rsidRDefault="00287D6F" w:rsidP="00790068">
      <w:pPr>
        <w:pStyle w:val="ListParagraph"/>
        <w:numPr>
          <w:ilvl w:val="2"/>
          <w:numId w:val="9"/>
        </w:numPr>
        <w:tabs>
          <w:tab w:val="left" w:pos="1980"/>
        </w:tabs>
        <w:spacing w:after="220"/>
        <w:ind w:left="1440" w:hanging="360"/>
        <w:contextualSpacing w:val="0"/>
        <w:rPr>
          <w:sz w:val="24"/>
        </w:rPr>
      </w:pPr>
      <w:r w:rsidRPr="00790068">
        <w:rPr>
          <w:sz w:val="24"/>
        </w:rPr>
        <w:t>Not identify the information or contact the individuals.</w:t>
      </w:r>
    </w:p>
    <w:p w:rsidR="00287D6F" w:rsidRPr="00B12BDA" w:rsidRDefault="00287D6F" w:rsidP="00270819">
      <w:pPr>
        <w:pStyle w:val="ListParagraph"/>
        <w:keepNext/>
        <w:numPr>
          <w:ilvl w:val="0"/>
          <w:numId w:val="6"/>
        </w:numPr>
        <w:tabs>
          <w:tab w:val="left" w:pos="720"/>
        </w:tabs>
        <w:spacing w:after="220"/>
        <w:ind w:left="720"/>
        <w:contextualSpacing w:val="0"/>
        <w:rPr>
          <w:sz w:val="24"/>
        </w:rPr>
      </w:pPr>
      <w:r w:rsidRPr="00B12BDA">
        <w:rPr>
          <w:i/>
          <w:sz w:val="24"/>
        </w:rPr>
        <w:t>Compliance</w:t>
      </w:r>
    </w:p>
    <w:p w:rsidR="00287D6F" w:rsidRPr="00B12BDA" w:rsidRDefault="00287D6F" w:rsidP="00270819">
      <w:pPr>
        <w:pStyle w:val="ListParagraph"/>
        <w:keepLines/>
        <w:numPr>
          <w:ilvl w:val="0"/>
          <w:numId w:val="10"/>
        </w:numPr>
        <w:tabs>
          <w:tab w:val="left" w:pos="1620"/>
        </w:tabs>
        <w:spacing w:after="220"/>
        <w:ind w:left="1080"/>
        <w:contextualSpacing w:val="0"/>
        <w:rPr>
          <w:sz w:val="24"/>
        </w:rPr>
      </w:pPr>
      <w:r w:rsidRPr="00B12BDA">
        <w:rPr>
          <w:sz w:val="24"/>
        </w:rPr>
        <w:t>A covered entity is not in compliance with the standards in paragraph (e) of this section if the covered entity knew of a pattern of activity or practice of the limited data set recipient that constituted a material breach or violation of the data use agreement, unless the covered entity took reasonable steps to cure the breach or end the violation, as applicable, and</w:t>
      </w:r>
      <w:r w:rsidR="00D1761E" w:rsidRPr="00B12BDA">
        <w:rPr>
          <w:sz w:val="24"/>
        </w:rPr>
        <w:t xml:space="preserve"> </w:t>
      </w:r>
      <w:r w:rsidRPr="00B12BDA">
        <w:rPr>
          <w:sz w:val="24"/>
        </w:rPr>
        <w:t>if such steps were unsuccessful:</w:t>
      </w:r>
    </w:p>
    <w:p w:rsidR="00287D6F" w:rsidRPr="00B12BDA" w:rsidRDefault="00287D6F" w:rsidP="00790068">
      <w:pPr>
        <w:pStyle w:val="ListParagraph"/>
        <w:numPr>
          <w:ilvl w:val="0"/>
          <w:numId w:val="11"/>
        </w:numPr>
        <w:tabs>
          <w:tab w:val="left" w:pos="1980"/>
        </w:tabs>
        <w:spacing w:after="220"/>
        <w:ind w:left="1440"/>
        <w:contextualSpacing w:val="0"/>
        <w:rPr>
          <w:sz w:val="24"/>
        </w:rPr>
      </w:pPr>
      <w:r w:rsidRPr="00B12BDA">
        <w:rPr>
          <w:sz w:val="24"/>
        </w:rPr>
        <w:t xml:space="preserve">Discontinued disclosure of </w:t>
      </w:r>
      <w:r w:rsidR="00790068">
        <w:rPr>
          <w:sz w:val="24"/>
        </w:rPr>
        <w:t>PHI</w:t>
      </w:r>
      <w:r w:rsidRPr="00B12BDA">
        <w:rPr>
          <w:sz w:val="24"/>
        </w:rPr>
        <w:t xml:space="preserve"> to the recipient; and</w:t>
      </w:r>
    </w:p>
    <w:p w:rsidR="00287D6F" w:rsidRPr="00B12BDA" w:rsidRDefault="00287D6F" w:rsidP="00790068">
      <w:pPr>
        <w:pStyle w:val="ListParagraph"/>
        <w:numPr>
          <w:ilvl w:val="0"/>
          <w:numId w:val="11"/>
        </w:numPr>
        <w:tabs>
          <w:tab w:val="left" w:pos="1980"/>
        </w:tabs>
        <w:spacing w:after="220"/>
        <w:ind w:left="1440"/>
        <w:contextualSpacing w:val="0"/>
        <w:rPr>
          <w:sz w:val="24"/>
        </w:rPr>
      </w:pPr>
      <w:r w:rsidRPr="00B12BDA">
        <w:rPr>
          <w:sz w:val="24"/>
        </w:rPr>
        <w:t>Reported the problem to the Secretary.</w:t>
      </w:r>
    </w:p>
    <w:p w:rsidR="00287D6F" w:rsidRPr="00790068" w:rsidRDefault="00287D6F" w:rsidP="00790068">
      <w:pPr>
        <w:pStyle w:val="ListParagraph"/>
        <w:numPr>
          <w:ilvl w:val="0"/>
          <w:numId w:val="10"/>
        </w:numPr>
        <w:tabs>
          <w:tab w:val="left" w:pos="1620"/>
        </w:tabs>
        <w:spacing w:after="220"/>
        <w:ind w:left="1080"/>
        <w:contextualSpacing w:val="0"/>
        <w:rPr>
          <w:sz w:val="24"/>
        </w:rPr>
      </w:pPr>
      <w:r w:rsidRPr="00790068">
        <w:rPr>
          <w:sz w:val="24"/>
        </w:rPr>
        <w:t>A covered entity that is a limited data set recipient and violates a data use agreement will be in noncompliance with the standards, implementation specifications, and requirements of paragraph (e) of this section.</w:t>
      </w:r>
    </w:p>
    <w:sectPr w:rsidR="00287D6F" w:rsidRPr="00790068" w:rsidSect="00E77FA8">
      <w:headerReference w:type="default" r:id="rId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ABD" w:rsidRDefault="00264ABD">
      <w:r>
        <w:separator/>
      </w:r>
    </w:p>
  </w:endnote>
  <w:endnote w:type="continuationSeparator" w:id="0">
    <w:p w:rsidR="00264ABD" w:rsidRDefault="00264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ABD" w:rsidRDefault="00264ABD">
      <w:r>
        <w:separator/>
      </w:r>
    </w:p>
  </w:footnote>
  <w:footnote w:type="continuationSeparator" w:id="0">
    <w:p w:rsidR="00264ABD" w:rsidRDefault="00264ABD">
      <w:r>
        <w:continuationSeparator/>
      </w:r>
    </w:p>
  </w:footnote>
  <w:footnote w:id="1">
    <w:p w:rsidR="00D93764" w:rsidRPr="00B12BDA" w:rsidRDefault="00D93764" w:rsidP="00790068">
      <w:pPr>
        <w:pStyle w:val="FootnoteText"/>
        <w:tabs>
          <w:tab w:val="left" w:pos="180"/>
        </w:tabs>
        <w:ind w:left="180" w:hanging="180"/>
      </w:pPr>
      <w:r w:rsidRPr="00B12BDA">
        <w:rPr>
          <w:rStyle w:val="FootnoteReference"/>
        </w:rPr>
        <w:footnoteRef/>
      </w:r>
      <w:r w:rsidR="00790068">
        <w:tab/>
      </w:r>
      <w:r w:rsidR="007C54FA" w:rsidRPr="003627FF">
        <w:rPr>
          <w:sz w:val="16"/>
        </w:rPr>
        <w:t>Revised Code of Washington (</w:t>
      </w:r>
      <w:r w:rsidRPr="003627FF">
        <w:rPr>
          <w:sz w:val="16"/>
        </w:rPr>
        <w:t>RCW</w:t>
      </w:r>
      <w:r w:rsidR="007C54FA" w:rsidRPr="003627FF">
        <w:rPr>
          <w:sz w:val="16"/>
        </w:rPr>
        <w:t>)</w:t>
      </w:r>
      <w:r w:rsidRPr="003627FF">
        <w:rPr>
          <w:sz w:val="16"/>
        </w:rPr>
        <w:t xml:space="preserve"> 70.02.050 further limits </w:t>
      </w:r>
      <w:r w:rsidR="00B12BDA" w:rsidRPr="003627FF">
        <w:rPr>
          <w:sz w:val="16"/>
        </w:rPr>
        <w:t xml:space="preserve">the use of a limited data set. </w:t>
      </w:r>
      <w:r w:rsidRPr="003627FF">
        <w:rPr>
          <w:sz w:val="16"/>
        </w:rPr>
        <w:t>IRB approval is required for all research disclosures including limited data sets (</w:t>
      </w:r>
      <w:r w:rsidR="003A339A" w:rsidRPr="003627FF">
        <w:rPr>
          <w:sz w:val="16"/>
        </w:rPr>
        <w:t xml:space="preserve">RCW </w:t>
      </w:r>
      <w:r w:rsidRPr="003627FF">
        <w:rPr>
          <w:sz w:val="16"/>
        </w:rPr>
        <w:t>70.05.050(g)(v)</w:t>
      </w:r>
      <w:r w:rsidR="003A339A" w:rsidRPr="003627FF">
        <w:rPr>
          <w:sz w:val="16"/>
        </w:rPr>
        <w:t>)</w:t>
      </w:r>
      <w:r w:rsidR="00B12BDA" w:rsidRPr="003627FF">
        <w:rPr>
          <w:sz w:val="16"/>
        </w:rPr>
        <w:t xml:space="preserve">. </w:t>
      </w:r>
      <w:r w:rsidRPr="003627FF">
        <w:rPr>
          <w:sz w:val="16"/>
        </w:rPr>
        <w:t xml:space="preserve">For public health and health care operations, disclosures are limited by </w:t>
      </w:r>
      <w:r w:rsidR="007C54FA" w:rsidRPr="003627FF">
        <w:rPr>
          <w:sz w:val="16"/>
        </w:rPr>
        <w:t xml:space="preserve">RCW </w:t>
      </w:r>
      <w:r w:rsidRPr="003627FF">
        <w:rPr>
          <w:sz w:val="16"/>
        </w:rPr>
        <w:t xml:space="preserve">70.02.050(2)(a) and </w:t>
      </w:r>
      <w:r w:rsidR="003A339A" w:rsidRPr="003627FF">
        <w:rPr>
          <w:sz w:val="16"/>
        </w:rPr>
        <w:t xml:space="preserve">RCW </w:t>
      </w:r>
      <w:r w:rsidRPr="003627FF">
        <w:rPr>
          <w:sz w:val="16"/>
        </w:rPr>
        <w:t>70.02.050(1)(b) respectively</w:t>
      </w:r>
      <w:r w:rsidR="00B12BDA" w:rsidRPr="003627FF">
        <w:rPr>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764" w:rsidRPr="006A04C2" w:rsidRDefault="00D93764" w:rsidP="00623B31">
    <w:pPr>
      <w:pStyle w:val="Header"/>
      <w:pBdr>
        <w:bottom w:val="double" w:sz="4" w:space="1" w:color="auto"/>
      </w:pBdr>
      <w:tabs>
        <w:tab w:val="clear" w:pos="4320"/>
        <w:tab w:val="clear" w:pos="8640"/>
      </w:tabs>
      <w:spacing w:after="240"/>
      <w:jc w:val="right"/>
      <w:rPr>
        <w:sz w:val="24"/>
      </w:rPr>
    </w:pPr>
    <w:r w:rsidRPr="00CD44A7">
      <w:rPr>
        <w:sz w:val="24"/>
      </w:rPr>
      <w:t xml:space="preserve">Section </w:t>
    </w:r>
    <w:r w:rsidR="00270819">
      <w:rPr>
        <w:sz w:val="24"/>
      </w:rPr>
      <w:t>16</w:t>
    </w:r>
    <w:r w:rsidRPr="00CD44A7">
      <w:rPr>
        <w:sz w:val="24"/>
      </w:rPr>
      <w:t xml:space="preserve">, Attachment </w:t>
    </w:r>
    <w:r w:rsidR="00C01B19" w:rsidRPr="00CD44A7">
      <w:rPr>
        <w:sz w:val="24"/>
      </w:rPr>
      <w:t>A</w:t>
    </w:r>
    <w:r w:rsidRPr="00CD44A7">
      <w:rPr>
        <w:sz w:val="24"/>
      </w:rPr>
      <w:t xml:space="preserve">, Appendix </w:t>
    </w:r>
    <w:r w:rsidR="00C01B19" w:rsidRPr="00CD44A7">
      <w:rPr>
        <w:sz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669D"/>
    <w:multiLevelType w:val="hybridMultilevel"/>
    <w:tmpl w:val="6E6C7FC2"/>
    <w:lvl w:ilvl="0" w:tplc="0409000F">
      <w:start w:val="1"/>
      <w:numFmt w:val="decimal"/>
      <w:lvlText w:val="%1."/>
      <w:lvlJc w:val="left"/>
      <w:pPr>
        <w:ind w:left="1440" w:hanging="360"/>
      </w:pPr>
    </w:lvl>
    <w:lvl w:ilvl="1" w:tplc="DC58B0E2">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6A3CDD"/>
    <w:multiLevelType w:val="hybridMultilevel"/>
    <w:tmpl w:val="B61278F4"/>
    <w:lvl w:ilvl="0" w:tplc="04090019">
      <w:start w:val="1"/>
      <w:numFmt w:val="lowerLetter"/>
      <w:lvlText w:val="%1."/>
      <w:lvlJc w:val="left"/>
      <w:pPr>
        <w:ind w:left="1980" w:hanging="360"/>
      </w:pPr>
    </w:lvl>
    <w:lvl w:ilvl="1" w:tplc="04090019">
      <w:start w:val="1"/>
      <w:numFmt w:val="lowerLetter"/>
      <w:lvlText w:val="%2."/>
      <w:lvlJc w:val="left"/>
      <w:pPr>
        <w:ind w:left="2700" w:hanging="360"/>
      </w:pPr>
    </w:lvl>
    <w:lvl w:ilvl="2" w:tplc="AAA61CD2">
      <w:start w:val="1"/>
      <w:numFmt w:val="decimal"/>
      <w:lvlText w:val="(%3)"/>
      <w:lvlJc w:val="left"/>
      <w:pPr>
        <w:ind w:left="3600" w:hanging="360"/>
      </w:pPr>
      <w:rPr>
        <w:rFonts w:hint="default"/>
        <w:i/>
      </w:r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25EB712B"/>
    <w:multiLevelType w:val="hybridMultilevel"/>
    <w:tmpl w:val="BB10CA26"/>
    <w:lvl w:ilvl="0" w:tplc="04090015">
      <w:start w:val="1"/>
      <w:numFmt w:val="upperLetter"/>
      <w:lvlText w:val="%1."/>
      <w:lvlJc w:val="left"/>
      <w:pPr>
        <w:ind w:left="1080" w:hanging="360"/>
      </w:pPr>
      <w:rPr>
        <w:rFonts w:hint="default"/>
        <w:color w:val="232323"/>
        <w:w w:val="109"/>
        <w:sz w:val="24"/>
        <w:szCs w:val="24"/>
      </w:rPr>
    </w:lvl>
    <w:lvl w:ilvl="1" w:tplc="86F4E64A">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B30C5D"/>
    <w:multiLevelType w:val="hybridMultilevel"/>
    <w:tmpl w:val="DE1C728C"/>
    <w:lvl w:ilvl="0" w:tplc="022823FA">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37E879F9"/>
    <w:multiLevelType w:val="hybridMultilevel"/>
    <w:tmpl w:val="36E8CE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A2FD0"/>
    <w:multiLevelType w:val="hybridMultilevel"/>
    <w:tmpl w:val="D4D6CEFC"/>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 w15:restartNumberingAfterBreak="0">
    <w:nsid w:val="4F873F60"/>
    <w:multiLevelType w:val="hybridMultilevel"/>
    <w:tmpl w:val="E91090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6DE57B4"/>
    <w:multiLevelType w:val="hybridMultilevel"/>
    <w:tmpl w:val="F5627056"/>
    <w:lvl w:ilvl="0" w:tplc="C026F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5C7881"/>
    <w:multiLevelType w:val="hybridMultilevel"/>
    <w:tmpl w:val="86389B9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A72F0D"/>
    <w:multiLevelType w:val="hybridMultilevel"/>
    <w:tmpl w:val="994EF4AC"/>
    <w:lvl w:ilvl="0" w:tplc="022823FA">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22823FA">
      <w:start w:val="1"/>
      <w:numFmt w:val="lowerRoman"/>
      <w:lvlText w:val="%3."/>
      <w:lvlJc w:val="left"/>
      <w:pPr>
        <w:ind w:left="3780" w:hanging="180"/>
      </w:pPr>
      <w:rPr>
        <w:rFonts w:hint="default"/>
      </w:r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71133BC2"/>
    <w:multiLevelType w:val="hybridMultilevel"/>
    <w:tmpl w:val="8B26C760"/>
    <w:lvl w:ilvl="0" w:tplc="022823FA">
      <w:start w:val="1"/>
      <w:numFmt w:val="lowerRoman"/>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2"/>
  </w:num>
  <w:num w:numId="2">
    <w:abstractNumId w:val="7"/>
  </w:num>
  <w:num w:numId="3">
    <w:abstractNumId w:val="4"/>
  </w:num>
  <w:num w:numId="4">
    <w:abstractNumId w:val="8"/>
  </w:num>
  <w:num w:numId="5">
    <w:abstractNumId w:val="6"/>
  </w:num>
  <w:num w:numId="6">
    <w:abstractNumId w:val="0"/>
  </w:num>
  <w:num w:numId="7">
    <w:abstractNumId w:val="1"/>
  </w:num>
  <w:num w:numId="8">
    <w:abstractNumId w:val="3"/>
  </w:num>
  <w:num w:numId="9">
    <w:abstractNumId w:val="9"/>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D6F"/>
    <w:rsid w:val="00004D97"/>
    <w:rsid w:val="00017609"/>
    <w:rsid w:val="000636B3"/>
    <w:rsid w:val="00083B15"/>
    <w:rsid w:val="000A6F57"/>
    <w:rsid w:val="000F129C"/>
    <w:rsid w:val="001661FD"/>
    <w:rsid w:val="001A1E49"/>
    <w:rsid w:val="001E2C67"/>
    <w:rsid w:val="00236887"/>
    <w:rsid w:val="00264ABD"/>
    <w:rsid w:val="00270819"/>
    <w:rsid w:val="00282E63"/>
    <w:rsid w:val="00287D6F"/>
    <w:rsid w:val="002B60DD"/>
    <w:rsid w:val="002B6776"/>
    <w:rsid w:val="002E7B1C"/>
    <w:rsid w:val="002F5CA7"/>
    <w:rsid w:val="003035C9"/>
    <w:rsid w:val="00336AE2"/>
    <w:rsid w:val="00357E57"/>
    <w:rsid w:val="003627FF"/>
    <w:rsid w:val="00371705"/>
    <w:rsid w:val="003870E2"/>
    <w:rsid w:val="00396DE2"/>
    <w:rsid w:val="003A339A"/>
    <w:rsid w:val="003C5CC5"/>
    <w:rsid w:val="003D1D90"/>
    <w:rsid w:val="003D6B27"/>
    <w:rsid w:val="003D7B6C"/>
    <w:rsid w:val="00447743"/>
    <w:rsid w:val="0046595F"/>
    <w:rsid w:val="004A1342"/>
    <w:rsid w:val="004A39D2"/>
    <w:rsid w:val="004E223B"/>
    <w:rsid w:val="00505952"/>
    <w:rsid w:val="00515801"/>
    <w:rsid w:val="005228FE"/>
    <w:rsid w:val="005462AC"/>
    <w:rsid w:val="0056240B"/>
    <w:rsid w:val="00571D9E"/>
    <w:rsid w:val="00573902"/>
    <w:rsid w:val="005763FD"/>
    <w:rsid w:val="005C5FB3"/>
    <w:rsid w:val="005F0E97"/>
    <w:rsid w:val="00623B31"/>
    <w:rsid w:val="00623E16"/>
    <w:rsid w:val="006A04C2"/>
    <w:rsid w:val="006A4429"/>
    <w:rsid w:val="006B450F"/>
    <w:rsid w:val="006D1220"/>
    <w:rsid w:val="00701AE9"/>
    <w:rsid w:val="007431E0"/>
    <w:rsid w:val="00790068"/>
    <w:rsid w:val="007C0CEB"/>
    <w:rsid w:val="007C54FA"/>
    <w:rsid w:val="007F54D2"/>
    <w:rsid w:val="008009D5"/>
    <w:rsid w:val="0081053B"/>
    <w:rsid w:val="0081710C"/>
    <w:rsid w:val="00836492"/>
    <w:rsid w:val="0087512B"/>
    <w:rsid w:val="008D12D4"/>
    <w:rsid w:val="008D4276"/>
    <w:rsid w:val="00962707"/>
    <w:rsid w:val="009A1A90"/>
    <w:rsid w:val="009B7025"/>
    <w:rsid w:val="009D10B1"/>
    <w:rsid w:val="00A26A12"/>
    <w:rsid w:val="00A34DF0"/>
    <w:rsid w:val="00AE321D"/>
    <w:rsid w:val="00B12BDA"/>
    <w:rsid w:val="00B23F73"/>
    <w:rsid w:val="00B62BF2"/>
    <w:rsid w:val="00B71A42"/>
    <w:rsid w:val="00B83018"/>
    <w:rsid w:val="00BE796F"/>
    <w:rsid w:val="00BF6A48"/>
    <w:rsid w:val="00C01B19"/>
    <w:rsid w:val="00C1645A"/>
    <w:rsid w:val="00C211B2"/>
    <w:rsid w:val="00CD44A7"/>
    <w:rsid w:val="00D1761E"/>
    <w:rsid w:val="00D33F3E"/>
    <w:rsid w:val="00D93764"/>
    <w:rsid w:val="00DB6B92"/>
    <w:rsid w:val="00DF7723"/>
    <w:rsid w:val="00E04D5E"/>
    <w:rsid w:val="00E32D9D"/>
    <w:rsid w:val="00E63F0B"/>
    <w:rsid w:val="00E77FA8"/>
    <w:rsid w:val="00FA4FED"/>
    <w:rsid w:val="00FB2DC5"/>
    <w:rsid w:val="00FC1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docId w15:val="{4E5380C6-442E-4660-92C4-26B9B3DA4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D6F"/>
  </w:style>
  <w:style w:type="paragraph" w:styleId="Heading5">
    <w:name w:val="heading 5"/>
    <w:basedOn w:val="Normal"/>
    <w:next w:val="Normal"/>
    <w:link w:val="Heading5Char"/>
    <w:qFormat/>
    <w:rsid w:val="00270819"/>
    <w:pPr>
      <w:keepNext/>
      <w:widowControl w:val="0"/>
      <w:jc w:val="center"/>
      <w:outlineLvl w:val="4"/>
    </w:pPr>
    <w:rPr>
      <w:b/>
      <w:snapToGrid w:val="0"/>
      <w:sz w:val="28"/>
    </w:rPr>
  </w:style>
  <w:style w:type="paragraph" w:styleId="Heading6">
    <w:name w:val="heading 6"/>
    <w:basedOn w:val="Normal"/>
    <w:next w:val="Normal"/>
    <w:qFormat/>
    <w:rsid w:val="00287D6F"/>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87D6F"/>
    <w:rPr>
      <w:vertAlign w:val="superscript"/>
    </w:rPr>
  </w:style>
  <w:style w:type="paragraph" w:styleId="FootnoteText">
    <w:name w:val="footnote text"/>
    <w:basedOn w:val="Normal"/>
    <w:semiHidden/>
    <w:rsid w:val="00287D6F"/>
  </w:style>
  <w:style w:type="paragraph" w:styleId="BodyTextIndent2">
    <w:name w:val="Body Text Indent 2"/>
    <w:basedOn w:val="Normal"/>
    <w:rsid w:val="00287D6F"/>
    <w:pPr>
      <w:ind w:left="900"/>
    </w:pPr>
    <w:rPr>
      <w:sz w:val="24"/>
    </w:rPr>
  </w:style>
  <w:style w:type="paragraph" w:styleId="Header">
    <w:name w:val="header"/>
    <w:basedOn w:val="Normal"/>
    <w:rsid w:val="00B83018"/>
    <w:pPr>
      <w:tabs>
        <w:tab w:val="center" w:pos="4320"/>
        <w:tab w:val="right" w:pos="8640"/>
      </w:tabs>
    </w:pPr>
  </w:style>
  <w:style w:type="paragraph" w:styleId="Footer">
    <w:name w:val="footer"/>
    <w:basedOn w:val="Normal"/>
    <w:rsid w:val="00B83018"/>
    <w:pPr>
      <w:tabs>
        <w:tab w:val="center" w:pos="4320"/>
        <w:tab w:val="right" w:pos="8640"/>
      </w:tabs>
    </w:pPr>
  </w:style>
  <w:style w:type="character" w:styleId="PageNumber">
    <w:name w:val="page number"/>
    <w:basedOn w:val="DefaultParagraphFont"/>
    <w:rsid w:val="00B83018"/>
  </w:style>
  <w:style w:type="paragraph" w:styleId="BalloonText">
    <w:name w:val="Balloon Text"/>
    <w:basedOn w:val="Normal"/>
    <w:semiHidden/>
    <w:rsid w:val="005228FE"/>
    <w:rPr>
      <w:rFonts w:ascii="Tahoma" w:hAnsi="Tahoma" w:cs="Tahoma"/>
      <w:sz w:val="16"/>
      <w:szCs w:val="16"/>
    </w:rPr>
  </w:style>
  <w:style w:type="paragraph" w:styleId="ListParagraph">
    <w:name w:val="List Paragraph"/>
    <w:basedOn w:val="Normal"/>
    <w:uiPriority w:val="34"/>
    <w:qFormat/>
    <w:rsid w:val="00623B31"/>
    <w:pPr>
      <w:ind w:left="720"/>
      <w:contextualSpacing/>
    </w:pPr>
  </w:style>
  <w:style w:type="character" w:styleId="CommentReference">
    <w:name w:val="annotation reference"/>
    <w:basedOn w:val="DefaultParagraphFont"/>
    <w:rsid w:val="007431E0"/>
    <w:rPr>
      <w:sz w:val="16"/>
      <w:szCs w:val="16"/>
    </w:rPr>
  </w:style>
  <w:style w:type="paragraph" w:styleId="CommentText">
    <w:name w:val="annotation text"/>
    <w:basedOn w:val="Normal"/>
    <w:link w:val="CommentTextChar"/>
    <w:rsid w:val="007431E0"/>
  </w:style>
  <w:style w:type="character" w:customStyle="1" w:styleId="CommentTextChar">
    <w:name w:val="Comment Text Char"/>
    <w:basedOn w:val="DefaultParagraphFont"/>
    <w:link w:val="CommentText"/>
    <w:rsid w:val="007431E0"/>
  </w:style>
  <w:style w:type="paragraph" w:styleId="CommentSubject">
    <w:name w:val="annotation subject"/>
    <w:basedOn w:val="CommentText"/>
    <w:next w:val="CommentText"/>
    <w:link w:val="CommentSubjectChar"/>
    <w:rsid w:val="007431E0"/>
    <w:rPr>
      <w:b/>
      <w:bCs/>
    </w:rPr>
  </w:style>
  <w:style w:type="character" w:customStyle="1" w:styleId="CommentSubjectChar">
    <w:name w:val="Comment Subject Char"/>
    <w:basedOn w:val="CommentTextChar"/>
    <w:link w:val="CommentSubject"/>
    <w:rsid w:val="007431E0"/>
    <w:rPr>
      <w:b/>
      <w:bCs/>
    </w:rPr>
  </w:style>
  <w:style w:type="paragraph" w:styleId="Revision">
    <w:name w:val="Revision"/>
    <w:hidden/>
    <w:uiPriority w:val="99"/>
    <w:semiHidden/>
    <w:rsid w:val="007431E0"/>
  </w:style>
  <w:style w:type="character" w:customStyle="1" w:styleId="Heading5Char">
    <w:name w:val="Heading 5 Char"/>
    <w:basedOn w:val="DefaultParagraphFont"/>
    <w:link w:val="Heading5"/>
    <w:rsid w:val="00270819"/>
    <w:rPr>
      <w:b/>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3FE06-526C-4CA3-9BBC-C560DCB30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Rudd, Jonathan</cp:lastModifiedBy>
  <cp:revision>16</cp:revision>
  <cp:lastPrinted>2005-12-07T16:15:00Z</cp:lastPrinted>
  <dcterms:created xsi:type="dcterms:W3CDTF">2016-03-29T17:19:00Z</dcterms:created>
  <dcterms:modified xsi:type="dcterms:W3CDTF">2019-03-19T17:09:00Z</dcterms:modified>
</cp:coreProperties>
</file>